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1980"/>
        <w:gridCol w:w="1701"/>
        <w:gridCol w:w="2551"/>
        <w:gridCol w:w="2694"/>
        <w:gridCol w:w="2693"/>
        <w:gridCol w:w="2551"/>
      </w:tblGrid>
      <w:tr w:rsidR="009C3A96" w14:paraId="14C8C3BC" w14:textId="77777777" w:rsidTr="009C3A96">
        <w:tc>
          <w:tcPr>
            <w:tcW w:w="1980" w:type="dxa"/>
          </w:tcPr>
          <w:p w14:paraId="596BD2B9" w14:textId="4A95E8DA" w:rsidR="006742A4" w:rsidRPr="00FF4B85" w:rsidRDefault="006742A4" w:rsidP="002E7A0D">
            <w:pPr>
              <w:rPr>
                <w:rFonts w:ascii="Montserrat Light" w:hAnsi="Montserrat Light"/>
                <w:b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Documents Held</w:t>
            </w:r>
          </w:p>
        </w:tc>
        <w:tc>
          <w:tcPr>
            <w:tcW w:w="1701" w:type="dxa"/>
          </w:tcPr>
          <w:p w14:paraId="5977EEFE" w14:textId="77777777" w:rsidR="009C3A96" w:rsidRDefault="006742A4" w:rsidP="002E7A0D">
            <w:pPr>
              <w:rPr>
                <w:rFonts w:ascii="Montserrat Light" w:hAnsi="Montserrat Light"/>
                <w:b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 xml:space="preserve">Categories of </w:t>
            </w:r>
          </w:p>
          <w:p w14:paraId="187FEDFC" w14:textId="494AE675" w:rsidR="006742A4" w:rsidRPr="00FF4B85" w:rsidRDefault="006742A4" w:rsidP="002E7A0D">
            <w:pPr>
              <w:rPr>
                <w:rFonts w:ascii="Montserrat Light" w:hAnsi="Montserrat Light"/>
                <w:b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Individuals</w:t>
            </w:r>
          </w:p>
        </w:tc>
        <w:tc>
          <w:tcPr>
            <w:tcW w:w="2551" w:type="dxa"/>
          </w:tcPr>
          <w:p w14:paraId="6DFE0EDA" w14:textId="47EF58EC" w:rsidR="006742A4" w:rsidRPr="00FF4B85" w:rsidRDefault="006742A4" w:rsidP="002E7A0D">
            <w:pPr>
              <w:rPr>
                <w:rFonts w:ascii="Montserrat Light" w:hAnsi="Montserrat Light"/>
                <w:b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Categories of personal data</w:t>
            </w:r>
          </w:p>
        </w:tc>
        <w:tc>
          <w:tcPr>
            <w:tcW w:w="2694" w:type="dxa"/>
          </w:tcPr>
          <w:p w14:paraId="7ED989CD" w14:textId="5D0D9AF2" w:rsidR="006742A4" w:rsidRPr="00FF4B85" w:rsidRDefault="006742A4" w:rsidP="002E7A0D">
            <w:pPr>
              <w:rPr>
                <w:rFonts w:ascii="Montserrat Light" w:hAnsi="Montserrat Light"/>
                <w:b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Purpose of processing &amp; lawful basis</w:t>
            </w:r>
          </w:p>
        </w:tc>
        <w:tc>
          <w:tcPr>
            <w:tcW w:w="2693" w:type="dxa"/>
          </w:tcPr>
          <w:p w14:paraId="7A887295" w14:textId="5B68A001" w:rsidR="006742A4" w:rsidRPr="00FF4B85" w:rsidRDefault="006742A4" w:rsidP="002E7A0D">
            <w:pPr>
              <w:rPr>
                <w:rFonts w:ascii="Montserrat Light" w:hAnsi="Montserrat Light"/>
                <w:b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Retention schedule &amp; disposal method</w:t>
            </w:r>
          </w:p>
        </w:tc>
        <w:tc>
          <w:tcPr>
            <w:tcW w:w="2551" w:type="dxa"/>
          </w:tcPr>
          <w:p w14:paraId="5FA0BABC" w14:textId="245B21B5" w:rsidR="006742A4" w:rsidRPr="00FF4B85" w:rsidRDefault="006742A4" w:rsidP="002E7A0D">
            <w:pPr>
              <w:rPr>
                <w:rFonts w:ascii="Montserrat Light" w:hAnsi="Montserrat Light"/>
                <w:b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Type of secure storage</w:t>
            </w:r>
          </w:p>
        </w:tc>
      </w:tr>
      <w:tr w:rsidR="009C3A96" w14:paraId="0A2E2B1B" w14:textId="77777777" w:rsidTr="009C3A96">
        <w:tc>
          <w:tcPr>
            <w:tcW w:w="1980" w:type="dxa"/>
          </w:tcPr>
          <w:p w14:paraId="7509BB6A" w14:textId="2657FFA5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Contact card</w:t>
            </w:r>
          </w:p>
        </w:tc>
        <w:tc>
          <w:tcPr>
            <w:tcW w:w="1701" w:type="dxa"/>
          </w:tcPr>
          <w:p w14:paraId="1167D396" w14:textId="1F753834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Clients</w:t>
            </w:r>
          </w:p>
        </w:tc>
        <w:tc>
          <w:tcPr>
            <w:tcW w:w="2551" w:type="dxa"/>
          </w:tcPr>
          <w:p w14:paraId="69A17130" w14:textId="77777777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Name</w:t>
            </w:r>
          </w:p>
          <w:p w14:paraId="4A6D3085" w14:textId="77777777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Number</w:t>
            </w:r>
          </w:p>
          <w:p w14:paraId="291DAC01" w14:textId="77777777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Email</w:t>
            </w:r>
          </w:p>
          <w:p w14:paraId="3C09FD2E" w14:textId="77777777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Address</w:t>
            </w:r>
          </w:p>
          <w:p w14:paraId="06C5EDCF" w14:textId="77777777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GP details</w:t>
            </w:r>
          </w:p>
          <w:p w14:paraId="1EA271E0" w14:textId="6F1D0FB2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Emergency contact</w:t>
            </w:r>
          </w:p>
        </w:tc>
        <w:tc>
          <w:tcPr>
            <w:tcW w:w="2694" w:type="dxa"/>
          </w:tcPr>
          <w:p w14:paraId="572CE18E" w14:textId="468CB256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Client safeguarding</w:t>
            </w:r>
          </w:p>
        </w:tc>
        <w:tc>
          <w:tcPr>
            <w:tcW w:w="2693" w:type="dxa"/>
          </w:tcPr>
          <w:p w14:paraId="6FD5EA09" w14:textId="2358D2A1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During treatment. Confidentially destroyed once therapy is </w:t>
            </w:r>
            <w:proofErr w:type="gramStart"/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brought to an end</w:t>
            </w:r>
            <w:proofErr w:type="gramEnd"/>
          </w:p>
        </w:tc>
        <w:tc>
          <w:tcPr>
            <w:tcW w:w="2551" w:type="dxa"/>
          </w:tcPr>
          <w:p w14:paraId="56EFA712" w14:textId="0D5F0A27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Key locked cupboard</w:t>
            </w:r>
          </w:p>
          <w:p w14:paraId="7C805938" w14:textId="652EACE4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Key stored in a code protected key safe</w:t>
            </w:r>
          </w:p>
        </w:tc>
      </w:tr>
      <w:tr w:rsidR="009C3A96" w14:paraId="58B87337" w14:textId="77777777" w:rsidTr="009C3A96">
        <w:tc>
          <w:tcPr>
            <w:tcW w:w="1980" w:type="dxa"/>
          </w:tcPr>
          <w:p w14:paraId="283870A5" w14:textId="5996F490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Client database</w:t>
            </w:r>
          </w:p>
        </w:tc>
        <w:tc>
          <w:tcPr>
            <w:tcW w:w="1701" w:type="dxa"/>
          </w:tcPr>
          <w:p w14:paraId="18462882" w14:textId="180755B0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Clients</w:t>
            </w:r>
          </w:p>
        </w:tc>
        <w:tc>
          <w:tcPr>
            <w:tcW w:w="2551" w:type="dxa"/>
          </w:tcPr>
          <w:p w14:paraId="70F294C2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Name</w:t>
            </w:r>
          </w:p>
          <w:p w14:paraId="2541BE08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Number</w:t>
            </w:r>
          </w:p>
          <w:p w14:paraId="6623ED94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Email</w:t>
            </w:r>
          </w:p>
          <w:p w14:paraId="0B5E3B35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Address</w:t>
            </w:r>
          </w:p>
          <w:p w14:paraId="39121E12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GP details</w:t>
            </w:r>
          </w:p>
          <w:p w14:paraId="22B88D9F" w14:textId="07186CC3" w:rsidR="006742A4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Emergency contact</w:t>
            </w:r>
          </w:p>
        </w:tc>
        <w:tc>
          <w:tcPr>
            <w:tcW w:w="2694" w:type="dxa"/>
          </w:tcPr>
          <w:p w14:paraId="568CD067" w14:textId="187E6099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Legitimate reasons, client contact for service administration</w:t>
            </w:r>
            <w:r w:rsidR="009C3A96">
              <w:rPr>
                <w:rFonts w:ascii="Montserrat Light" w:hAnsi="Montserrat Light"/>
                <w:color w:val="4D4D4D"/>
                <w:sz w:val="22"/>
                <w:szCs w:val="22"/>
              </w:rPr>
              <w:t>, client safeguarding</w:t>
            </w:r>
          </w:p>
        </w:tc>
        <w:tc>
          <w:tcPr>
            <w:tcW w:w="2693" w:type="dxa"/>
          </w:tcPr>
          <w:p w14:paraId="7323DCB3" w14:textId="58AEE95C" w:rsidR="006742A4" w:rsidRDefault="003158F8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Until end of treatment contact details </w:t>
            </w:r>
            <w:proofErr w:type="gramStart"/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are</w:t>
            </w:r>
            <w:proofErr w:type="gramEnd"/>
            <w:r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 then deleted</w:t>
            </w:r>
          </w:p>
        </w:tc>
        <w:tc>
          <w:tcPr>
            <w:tcW w:w="2551" w:type="dxa"/>
          </w:tcPr>
          <w:p w14:paraId="41D6C4B3" w14:textId="5756ADB6" w:rsidR="006742A4" w:rsidRDefault="009C3A96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Encrypted, password &amp; 2FA protected practice management software (wearekiku.com)</w:t>
            </w:r>
          </w:p>
        </w:tc>
      </w:tr>
      <w:tr w:rsidR="009C3A96" w14:paraId="55FB0B30" w14:textId="77777777" w:rsidTr="009C3A96">
        <w:tc>
          <w:tcPr>
            <w:tcW w:w="1980" w:type="dxa"/>
          </w:tcPr>
          <w:p w14:paraId="3728EE8E" w14:textId="3B2B63F1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Clinical Notes</w:t>
            </w:r>
          </w:p>
        </w:tc>
        <w:tc>
          <w:tcPr>
            <w:tcW w:w="1701" w:type="dxa"/>
          </w:tcPr>
          <w:p w14:paraId="385494CE" w14:textId="4068D67C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Clients</w:t>
            </w:r>
          </w:p>
        </w:tc>
        <w:tc>
          <w:tcPr>
            <w:tcW w:w="2551" w:type="dxa"/>
          </w:tcPr>
          <w:p w14:paraId="19FD0EFB" w14:textId="5A3608D3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None </w:t>
            </w:r>
            <w:r w:rsidR="003A0458">
              <w:rPr>
                <w:rFonts w:ascii="Montserrat Light" w:hAnsi="Montserrat Light"/>
                <w:color w:val="4D4D4D"/>
                <w:sz w:val="22"/>
                <w:szCs w:val="22"/>
              </w:rPr>
              <w:t>–</w:t>
            </w: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 </w:t>
            </w:r>
            <w:r w:rsidR="003A0458"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These notes are </w:t>
            </w:r>
            <w:proofErr w:type="spellStart"/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anonymised</w:t>
            </w:r>
            <w:proofErr w:type="spellEnd"/>
          </w:p>
        </w:tc>
        <w:tc>
          <w:tcPr>
            <w:tcW w:w="2694" w:type="dxa"/>
          </w:tcPr>
          <w:p w14:paraId="1FDD66CC" w14:textId="7448F7A7" w:rsidR="006742A4" w:rsidRDefault="006742A4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Safeguarding, to support the therapeutic process</w:t>
            </w:r>
          </w:p>
        </w:tc>
        <w:tc>
          <w:tcPr>
            <w:tcW w:w="2693" w:type="dxa"/>
          </w:tcPr>
          <w:p w14:paraId="0BBD7049" w14:textId="647CB00C" w:rsidR="006742A4" w:rsidRDefault="005437CA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7</w:t>
            </w:r>
            <w:r w:rsidR="006742A4"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 years after end of treatment</w:t>
            </w:r>
            <w:r w:rsidR="00F404AE">
              <w:rPr>
                <w:rFonts w:ascii="Montserrat Light" w:hAnsi="Montserrat Light"/>
                <w:color w:val="4D4D4D"/>
                <w:sz w:val="22"/>
                <w:szCs w:val="22"/>
              </w:rPr>
              <w:t>. For clients who are referred by a third party, notes are retained in accordance with the third party’s guidelines</w:t>
            </w:r>
            <w:r w:rsidR="006742A4"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. Confidentially destroyed </w:t>
            </w:r>
            <w:r w:rsidR="009C3A96">
              <w:rPr>
                <w:rFonts w:ascii="Montserrat Light" w:hAnsi="Montserrat Light"/>
                <w:color w:val="4D4D4D"/>
                <w:sz w:val="22"/>
                <w:szCs w:val="22"/>
              </w:rPr>
              <w:t>–</w:t>
            </w:r>
            <w:r w:rsidR="006742A4"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 </w:t>
            </w:r>
            <w:r w:rsidR="009C3A96"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shredded/ </w:t>
            </w:r>
            <w:r w:rsidR="006742A4">
              <w:rPr>
                <w:rFonts w:ascii="Montserrat Light" w:hAnsi="Montserrat Light"/>
                <w:color w:val="4D4D4D"/>
                <w:sz w:val="22"/>
                <w:szCs w:val="22"/>
              </w:rPr>
              <w:t>incinerated</w:t>
            </w:r>
          </w:p>
        </w:tc>
        <w:tc>
          <w:tcPr>
            <w:tcW w:w="2551" w:type="dxa"/>
          </w:tcPr>
          <w:p w14:paraId="079DD076" w14:textId="77777777" w:rsidR="006742A4" w:rsidRDefault="009C3A96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Encrypted, password &amp; 2FA protected practice management software (wearekiku.com)</w:t>
            </w:r>
          </w:p>
          <w:p w14:paraId="22A6E87B" w14:textId="77777777" w:rsidR="009C3A96" w:rsidRDefault="009C3A96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</w:p>
          <w:p w14:paraId="7D8961A1" w14:textId="6D15F41F" w:rsidR="009C3A96" w:rsidRDefault="009C3A96" w:rsidP="002E7A0D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Key locked filing cabinet. Key stored in </w:t>
            </w:r>
            <w:proofErr w:type="spellStart"/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keysafe</w:t>
            </w:r>
            <w:proofErr w:type="spellEnd"/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.</w:t>
            </w:r>
          </w:p>
        </w:tc>
      </w:tr>
      <w:tr w:rsidR="009C3A96" w14:paraId="26B8AC55" w14:textId="77777777" w:rsidTr="009C3A96">
        <w:tc>
          <w:tcPr>
            <w:tcW w:w="1980" w:type="dxa"/>
          </w:tcPr>
          <w:p w14:paraId="57D1C744" w14:textId="1D09A26A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lastRenderedPageBreak/>
              <w:t>Documents Held</w:t>
            </w:r>
          </w:p>
        </w:tc>
        <w:tc>
          <w:tcPr>
            <w:tcW w:w="1701" w:type="dxa"/>
          </w:tcPr>
          <w:p w14:paraId="15A883EB" w14:textId="77777777" w:rsidR="009C3A96" w:rsidRDefault="009C3A96" w:rsidP="009C3A96">
            <w:pPr>
              <w:rPr>
                <w:rFonts w:ascii="Montserrat Light" w:hAnsi="Montserrat Light"/>
                <w:b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 xml:space="preserve">Categories of </w:t>
            </w:r>
          </w:p>
          <w:p w14:paraId="25D65039" w14:textId="7CD985D1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Individuals</w:t>
            </w:r>
          </w:p>
        </w:tc>
        <w:tc>
          <w:tcPr>
            <w:tcW w:w="2551" w:type="dxa"/>
          </w:tcPr>
          <w:p w14:paraId="29D0705A" w14:textId="3FEF8CA6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Categories of personal data</w:t>
            </w:r>
          </w:p>
        </w:tc>
        <w:tc>
          <w:tcPr>
            <w:tcW w:w="2694" w:type="dxa"/>
          </w:tcPr>
          <w:p w14:paraId="3C72F7C6" w14:textId="63F3A188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Purpose of processing &amp; lawful basis</w:t>
            </w:r>
          </w:p>
        </w:tc>
        <w:tc>
          <w:tcPr>
            <w:tcW w:w="2693" w:type="dxa"/>
          </w:tcPr>
          <w:p w14:paraId="219840EC" w14:textId="1488C775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Retention schedule &amp; disposal method</w:t>
            </w:r>
          </w:p>
        </w:tc>
        <w:tc>
          <w:tcPr>
            <w:tcW w:w="2551" w:type="dxa"/>
          </w:tcPr>
          <w:p w14:paraId="68FF56FA" w14:textId="5E58A04E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 w:rsidRPr="00FF4B85">
              <w:rPr>
                <w:rFonts w:ascii="Montserrat Light" w:hAnsi="Montserrat Light"/>
                <w:b/>
                <w:color w:val="4D4D4D"/>
                <w:sz w:val="22"/>
                <w:szCs w:val="22"/>
              </w:rPr>
              <w:t>Type of secure storage</w:t>
            </w:r>
          </w:p>
        </w:tc>
      </w:tr>
      <w:tr w:rsidR="009C3A96" w14:paraId="64841EB6" w14:textId="77777777" w:rsidTr="009C3A96">
        <w:tc>
          <w:tcPr>
            <w:tcW w:w="1980" w:type="dxa"/>
          </w:tcPr>
          <w:p w14:paraId="1AE91C7D" w14:textId="274930A5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Recruitment mailing list</w:t>
            </w:r>
          </w:p>
        </w:tc>
        <w:tc>
          <w:tcPr>
            <w:tcW w:w="1701" w:type="dxa"/>
          </w:tcPr>
          <w:p w14:paraId="7BF69809" w14:textId="1DDFF3AD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Therapists interested in joining the team</w:t>
            </w:r>
          </w:p>
        </w:tc>
        <w:tc>
          <w:tcPr>
            <w:tcW w:w="2551" w:type="dxa"/>
          </w:tcPr>
          <w:p w14:paraId="0353501C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Name</w:t>
            </w:r>
          </w:p>
          <w:p w14:paraId="23053F8A" w14:textId="5DCAF9A9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Email address</w:t>
            </w:r>
          </w:p>
        </w:tc>
        <w:tc>
          <w:tcPr>
            <w:tcW w:w="2694" w:type="dxa"/>
          </w:tcPr>
          <w:p w14:paraId="3E338D0D" w14:textId="0BBF2F93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Therapists opt in to mailing list to be kept updated on upcoming job opportunities</w:t>
            </w:r>
          </w:p>
        </w:tc>
        <w:tc>
          <w:tcPr>
            <w:tcW w:w="2693" w:type="dxa"/>
          </w:tcPr>
          <w:p w14:paraId="5AB70842" w14:textId="4DD1EB0C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Until therapists choose to opt out</w:t>
            </w:r>
          </w:p>
        </w:tc>
        <w:tc>
          <w:tcPr>
            <w:tcW w:w="2551" w:type="dxa"/>
          </w:tcPr>
          <w:p w14:paraId="3AC4B254" w14:textId="05AD1AE9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Password &amp; 2FA protected Mailchimp account </w:t>
            </w:r>
          </w:p>
        </w:tc>
      </w:tr>
      <w:tr w:rsidR="009C3A96" w14:paraId="0CB4C720" w14:textId="77777777" w:rsidTr="009C3A96">
        <w:tc>
          <w:tcPr>
            <w:tcW w:w="1980" w:type="dxa"/>
          </w:tcPr>
          <w:p w14:paraId="3B9B128B" w14:textId="437B6BC6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Website contact forms</w:t>
            </w:r>
          </w:p>
        </w:tc>
        <w:tc>
          <w:tcPr>
            <w:tcW w:w="1701" w:type="dxa"/>
          </w:tcPr>
          <w:p w14:paraId="472343F3" w14:textId="1D16FBFF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Prospective Clients</w:t>
            </w:r>
          </w:p>
        </w:tc>
        <w:tc>
          <w:tcPr>
            <w:tcW w:w="2551" w:type="dxa"/>
          </w:tcPr>
          <w:p w14:paraId="402729D9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Phone number</w:t>
            </w:r>
          </w:p>
          <w:p w14:paraId="397D465F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Email address</w:t>
            </w:r>
          </w:p>
          <w:p w14:paraId="4EB59385" w14:textId="16016A81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Client message</w:t>
            </w:r>
          </w:p>
        </w:tc>
        <w:tc>
          <w:tcPr>
            <w:tcW w:w="2694" w:type="dxa"/>
          </w:tcPr>
          <w:p w14:paraId="2EF298DF" w14:textId="44433DDE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Client mode of contact – legitimate service need</w:t>
            </w:r>
          </w:p>
        </w:tc>
        <w:tc>
          <w:tcPr>
            <w:tcW w:w="2693" w:type="dxa"/>
          </w:tcPr>
          <w:p w14:paraId="2BDF6374" w14:textId="5CEDFD9D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F714B6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</w:p>
        </w:tc>
      </w:tr>
      <w:tr w:rsidR="009C3A96" w14:paraId="13DA3194" w14:textId="77777777" w:rsidTr="009C3A96">
        <w:tc>
          <w:tcPr>
            <w:tcW w:w="1980" w:type="dxa"/>
          </w:tcPr>
          <w:p w14:paraId="0E47C097" w14:textId="170416C0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Applicant CVs &amp; cover letters</w:t>
            </w:r>
          </w:p>
        </w:tc>
        <w:tc>
          <w:tcPr>
            <w:tcW w:w="1701" w:type="dxa"/>
          </w:tcPr>
          <w:p w14:paraId="71B4098A" w14:textId="75642033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Applicants</w:t>
            </w:r>
          </w:p>
        </w:tc>
        <w:tc>
          <w:tcPr>
            <w:tcW w:w="2551" w:type="dxa"/>
          </w:tcPr>
          <w:p w14:paraId="5E809546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Name</w:t>
            </w:r>
          </w:p>
          <w:p w14:paraId="1CFC20FB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Contact details</w:t>
            </w:r>
          </w:p>
          <w:p w14:paraId="359197FA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Date of Birth</w:t>
            </w:r>
          </w:p>
          <w:p w14:paraId="59729255" w14:textId="0EFEB5A4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Education &amp; employment history</w:t>
            </w:r>
          </w:p>
        </w:tc>
        <w:tc>
          <w:tcPr>
            <w:tcW w:w="2694" w:type="dxa"/>
          </w:tcPr>
          <w:p w14:paraId="22DEE52D" w14:textId="2C429C02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Legitimate use: to recruit new staff members</w:t>
            </w:r>
          </w:p>
        </w:tc>
        <w:tc>
          <w:tcPr>
            <w:tcW w:w="2693" w:type="dxa"/>
          </w:tcPr>
          <w:p w14:paraId="5C0AB481" w14:textId="22EB561C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If not recruited these documents are deleted immediately after the recruitment drive has come to an end.</w:t>
            </w:r>
          </w:p>
        </w:tc>
        <w:tc>
          <w:tcPr>
            <w:tcW w:w="2551" w:type="dxa"/>
          </w:tcPr>
          <w:p w14:paraId="21BBABCE" w14:textId="01C38A69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Stored on password protected &amp; encrypted computers</w:t>
            </w:r>
          </w:p>
        </w:tc>
      </w:tr>
      <w:tr w:rsidR="009C3A96" w14:paraId="36752A8C" w14:textId="77777777" w:rsidTr="009C3A96">
        <w:tc>
          <w:tcPr>
            <w:tcW w:w="1980" w:type="dxa"/>
          </w:tcPr>
          <w:p w14:paraId="5FF4CC45" w14:textId="6225130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Staff files</w:t>
            </w:r>
          </w:p>
        </w:tc>
        <w:tc>
          <w:tcPr>
            <w:tcW w:w="1701" w:type="dxa"/>
          </w:tcPr>
          <w:p w14:paraId="4D4D511A" w14:textId="31E2CBE0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Clinical Associates &amp; staff members</w:t>
            </w:r>
          </w:p>
        </w:tc>
        <w:tc>
          <w:tcPr>
            <w:tcW w:w="2551" w:type="dxa"/>
          </w:tcPr>
          <w:p w14:paraId="05876F22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Personal info:</w:t>
            </w:r>
          </w:p>
          <w:p w14:paraId="356C0F9A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Contact details</w:t>
            </w:r>
          </w:p>
          <w:p w14:paraId="0B798BBE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Emergency contact</w:t>
            </w:r>
          </w:p>
          <w:p w14:paraId="7AF60EA5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CV</w:t>
            </w:r>
          </w:p>
          <w:p w14:paraId="6DED43D3" w14:textId="77777777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Insurance certificates</w:t>
            </w:r>
          </w:p>
          <w:p w14:paraId="2A2D2AB6" w14:textId="777F7960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Qualification certificates</w:t>
            </w:r>
          </w:p>
        </w:tc>
        <w:tc>
          <w:tcPr>
            <w:tcW w:w="2694" w:type="dxa"/>
          </w:tcPr>
          <w:p w14:paraId="21CC60E9" w14:textId="60D41A81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Legitimate use under terms of association</w:t>
            </w:r>
          </w:p>
        </w:tc>
        <w:tc>
          <w:tcPr>
            <w:tcW w:w="2693" w:type="dxa"/>
          </w:tcPr>
          <w:p w14:paraId="38AE877D" w14:textId="1AFDD98D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 xml:space="preserve">Confidentially destroyed once association or employment is </w:t>
            </w:r>
            <w:proofErr w:type="gramStart"/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brought to an end</w:t>
            </w:r>
            <w:proofErr w:type="gramEnd"/>
          </w:p>
        </w:tc>
        <w:tc>
          <w:tcPr>
            <w:tcW w:w="2551" w:type="dxa"/>
          </w:tcPr>
          <w:p w14:paraId="1A908CC5" w14:textId="4652CA60" w:rsidR="009C3A96" w:rsidRDefault="009C3A96" w:rsidP="009C3A96">
            <w:pPr>
              <w:rPr>
                <w:rFonts w:ascii="Montserrat Light" w:hAnsi="Montserrat Light"/>
                <w:color w:val="4D4D4D"/>
                <w:sz w:val="22"/>
                <w:szCs w:val="22"/>
              </w:rPr>
            </w:pPr>
            <w:r>
              <w:rPr>
                <w:rFonts w:ascii="Montserrat Light" w:hAnsi="Montserrat Light"/>
                <w:color w:val="4D4D4D"/>
                <w:sz w:val="22"/>
                <w:szCs w:val="22"/>
              </w:rPr>
              <w:t>Stored in locked filing cabinet</w:t>
            </w:r>
          </w:p>
        </w:tc>
      </w:tr>
    </w:tbl>
    <w:p w14:paraId="7D64B79B" w14:textId="2BDAF677" w:rsidR="00382DDE" w:rsidRPr="00C319FD" w:rsidRDefault="002E7A0D" w:rsidP="003A0458">
      <w:pPr>
        <w:rPr>
          <w:rFonts w:ascii="Montserrat Light" w:hAnsi="Montserrat Light"/>
          <w:color w:val="4D4D4D"/>
          <w:sz w:val="22"/>
          <w:szCs w:val="22"/>
        </w:rPr>
      </w:pPr>
      <w:r>
        <w:rPr>
          <w:rFonts w:ascii="Montserrat Light" w:hAnsi="Montserrat Light"/>
          <w:color w:val="4D4D4D"/>
          <w:sz w:val="22"/>
          <w:szCs w:val="22"/>
        </w:rPr>
        <w:br w:type="textWrapping" w:clear="all"/>
      </w:r>
    </w:p>
    <w:sectPr w:rsidR="00382DDE" w:rsidRPr="00C319FD" w:rsidSect="009C3A96">
      <w:headerReference w:type="default" r:id="rId7"/>
      <w:footerReference w:type="default" r:id="rId8"/>
      <w:pgSz w:w="16840" w:h="11900" w:orient="landscape"/>
      <w:pgMar w:top="1268" w:right="1246" w:bottom="1276" w:left="1560" w:header="1418" w:footer="1218" w:gutter="0"/>
      <w:cols w:space="2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4C8B" w14:textId="77777777" w:rsidR="002845A5" w:rsidRDefault="002845A5" w:rsidP="00340BA0">
      <w:r>
        <w:separator/>
      </w:r>
    </w:p>
  </w:endnote>
  <w:endnote w:type="continuationSeparator" w:id="0">
    <w:p w14:paraId="29B72B4C" w14:textId="77777777" w:rsidR="002845A5" w:rsidRDefault="002845A5" w:rsidP="003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4D"/>
    <w:family w:val="auto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B020" w14:textId="77777777" w:rsidR="00340BA0" w:rsidRPr="00953E7A" w:rsidRDefault="00340BA0" w:rsidP="00340BA0">
    <w:pPr>
      <w:pStyle w:val="BasicParagraph"/>
      <w:spacing w:line="240" w:lineRule="auto"/>
      <w:rPr>
        <w:rFonts w:ascii="Montserrat Light" w:hAnsi="Montserrat Light" w:cs="Arial"/>
        <w:color w:val="4D4D4D"/>
        <w:sz w:val="18"/>
        <w:szCs w:val="18"/>
      </w:rPr>
    </w:pPr>
  </w:p>
  <w:p w14:paraId="1D4C5DEC" w14:textId="77777777" w:rsidR="009C3A96" w:rsidRDefault="009C3A96" w:rsidP="009C3A96">
    <w:pPr>
      <w:pStyle w:val="Footer"/>
      <w:rPr>
        <w:color w:val="404040" w:themeColor="text1" w:themeTint="BF"/>
        <w:sz w:val="21"/>
        <w:szCs w:val="21"/>
      </w:rPr>
    </w:pPr>
    <w:r w:rsidRPr="00DB1BD2">
      <w:rPr>
        <w:rFonts w:ascii="Montserrat Light" w:hAnsi="Montserrat Light"/>
        <w:color w:val="404040" w:themeColor="text1" w:themeTint="BF"/>
        <w:sz w:val="21"/>
        <w:szCs w:val="21"/>
      </w:rPr>
      <w:t xml:space="preserve">© </w:t>
    </w:r>
    <w:r w:rsidRPr="00DB1BD2">
      <w:rPr>
        <w:color w:val="404040" w:themeColor="text1" w:themeTint="BF"/>
        <w:sz w:val="21"/>
        <w:szCs w:val="21"/>
      </w:rPr>
      <w:t xml:space="preserve"> </w:t>
    </w:r>
    <w:r w:rsidRPr="00DB1BD2">
      <w:rPr>
        <w:noProof/>
        <w:color w:val="404040" w:themeColor="text1" w:themeTint="BF"/>
        <w:sz w:val="21"/>
        <w:szCs w:val="21"/>
      </w:rPr>
      <w:drawing>
        <wp:inline distT="0" distB="0" distL="0" distR="0" wp14:anchorId="50BE7D3C" wp14:editId="36D74B47">
          <wp:extent cx="406400" cy="161670"/>
          <wp:effectExtent l="0" t="0" r="0" b="381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7" cy="17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BD9B0" w14:textId="77777777" w:rsidR="009C3A96" w:rsidRDefault="009C3A96" w:rsidP="009C3A96">
    <w:pPr>
      <w:pStyle w:val="Footer"/>
      <w:jc w:val="both"/>
      <w:rPr>
        <w:rFonts w:ascii="Montserrat" w:hAnsi="Montserrat"/>
        <w:color w:val="404040" w:themeColor="text1" w:themeTint="BF"/>
        <w:sz w:val="21"/>
        <w:szCs w:val="21"/>
      </w:rPr>
    </w:pPr>
  </w:p>
  <w:p w14:paraId="629AFC31" w14:textId="77777777" w:rsidR="009C3A96" w:rsidRDefault="009C3A96" w:rsidP="009C3A96">
    <w:pPr>
      <w:pStyle w:val="Footer"/>
      <w:jc w:val="both"/>
      <w:rPr>
        <w:rFonts w:ascii="Montserrat" w:hAnsi="Montserrat"/>
        <w:color w:val="404040" w:themeColor="text1" w:themeTint="BF"/>
        <w:sz w:val="21"/>
        <w:szCs w:val="21"/>
      </w:rPr>
    </w:pPr>
    <w:r w:rsidRPr="00DB1BD2">
      <w:rPr>
        <w:rFonts w:ascii="Montserrat" w:hAnsi="Montserrat"/>
        <w:color w:val="404040" w:themeColor="text1" w:themeTint="BF"/>
        <w:sz w:val="21"/>
        <w:szCs w:val="21"/>
      </w:rPr>
      <w:t>wearekiku.com</w:t>
    </w:r>
    <w:r>
      <w:rPr>
        <w:rFonts w:ascii="Montserrat" w:hAnsi="Montserrat"/>
        <w:color w:val="404040" w:themeColor="text1" w:themeTint="BF"/>
        <w:sz w:val="21"/>
        <w:szCs w:val="21"/>
      </w:rPr>
      <w:tab/>
    </w:r>
    <w:r>
      <w:rPr>
        <w:rFonts w:ascii="Montserrat" w:hAnsi="Montserrat"/>
        <w:color w:val="404040" w:themeColor="text1" w:themeTint="BF"/>
        <w:sz w:val="21"/>
        <w:szCs w:val="21"/>
      </w:rPr>
      <w:tab/>
      <w:t xml:space="preserve">      </w:t>
    </w:r>
  </w:p>
  <w:p w14:paraId="6EC9DA09" w14:textId="77777777" w:rsidR="009C3A96" w:rsidRPr="00DB1BD2" w:rsidRDefault="009C3A96" w:rsidP="009C3A96">
    <w:pPr>
      <w:pStyle w:val="Footer"/>
      <w:jc w:val="both"/>
      <w:rPr>
        <w:rFonts w:ascii="Montserrat Light" w:hAnsi="Montserrat Light"/>
        <w:color w:val="404040" w:themeColor="text1" w:themeTint="BF"/>
        <w:sz w:val="21"/>
        <w:szCs w:val="21"/>
      </w:rPr>
    </w:pPr>
    <w:r w:rsidRPr="00DB1BD2">
      <w:rPr>
        <w:rFonts w:ascii="Montserrat Light" w:hAnsi="Montserrat Light"/>
        <w:color w:val="404040" w:themeColor="text1" w:themeTint="BF"/>
        <w:sz w:val="21"/>
        <w:szCs w:val="21"/>
      </w:rPr>
      <w:t>You do the therapy, we’ll do the rest</w:t>
    </w:r>
  </w:p>
  <w:p w14:paraId="3D69C005" w14:textId="316F4133" w:rsidR="00340BA0" w:rsidRPr="00953E7A" w:rsidRDefault="00340BA0" w:rsidP="00340BA0">
    <w:pPr>
      <w:pStyle w:val="Footer"/>
      <w:adjustRightInd w:val="0"/>
      <w:rPr>
        <w:rFonts w:ascii="Montserrat Light" w:hAnsi="Montserrat Light" w:cs="Arial"/>
        <w:color w:val="A9C4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B81D" w14:textId="77777777" w:rsidR="002845A5" w:rsidRDefault="002845A5" w:rsidP="00340BA0">
      <w:r>
        <w:separator/>
      </w:r>
    </w:p>
  </w:footnote>
  <w:footnote w:type="continuationSeparator" w:id="0">
    <w:p w14:paraId="36972B71" w14:textId="77777777" w:rsidR="002845A5" w:rsidRDefault="002845A5" w:rsidP="0034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CB04" w14:textId="1D6032D5" w:rsidR="00382DDE" w:rsidRDefault="009C3A96" w:rsidP="009C3A96">
    <w:pPr>
      <w:pStyle w:val="Header"/>
      <w:jc w:val="center"/>
      <w:rPr>
        <w:rFonts w:ascii="Montserrat Light" w:hAnsi="Montserrat Light"/>
        <w:color w:val="404040" w:themeColor="text1" w:themeTint="BF"/>
        <w:lang w:val="en-GB"/>
      </w:rPr>
    </w:pPr>
    <w:r w:rsidRPr="009C3A96">
      <w:rPr>
        <w:rFonts w:ascii="Montserrat Light" w:hAnsi="Montserrat Light"/>
        <w:color w:val="404040" w:themeColor="text1" w:themeTint="BF"/>
        <w:lang w:val="en-GB"/>
      </w:rPr>
      <w:t xml:space="preserve">Example Data Audit </w:t>
    </w:r>
  </w:p>
  <w:p w14:paraId="0E8ADA3E" w14:textId="77777777" w:rsidR="009C3A96" w:rsidRPr="009C3A96" w:rsidRDefault="009C3A96" w:rsidP="009C3A96">
    <w:pPr>
      <w:pStyle w:val="Header"/>
      <w:jc w:val="center"/>
      <w:rPr>
        <w:rFonts w:ascii="Montserrat Light" w:hAnsi="Montserrat Light"/>
        <w:color w:val="404040" w:themeColor="text1" w:themeTint="BF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PostScriptOverText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04"/>
    <w:rsid w:val="00063E8C"/>
    <w:rsid w:val="000842C4"/>
    <w:rsid w:val="000D02FE"/>
    <w:rsid w:val="000E2429"/>
    <w:rsid w:val="0011334A"/>
    <w:rsid w:val="001B040A"/>
    <w:rsid w:val="001B53B3"/>
    <w:rsid w:val="001F36F4"/>
    <w:rsid w:val="002845A5"/>
    <w:rsid w:val="002A70EF"/>
    <w:rsid w:val="002E7A0D"/>
    <w:rsid w:val="003158F8"/>
    <w:rsid w:val="00340BA0"/>
    <w:rsid w:val="00351241"/>
    <w:rsid w:val="00367245"/>
    <w:rsid w:val="00382DDE"/>
    <w:rsid w:val="00391C04"/>
    <w:rsid w:val="003A0458"/>
    <w:rsid w:val="003A2251"/>
    <w:rsid w:val="003C4E13"/>
    <w:rsid w:val="003F2FFD"/>
    <w:rsid w:val="004A2E37"/>
    <w:rsid w:val="004C0241"/>
    <w:rsid w:val="004F4E3E"/>
    <w:rsid w:val="005437CA"/>
    <w:rsid w:val="0059718D"/>
    <w:rsid w:val="00661D67"/>
    <w:rsid w:val="006742A4"/>
    <w:rsid w:val="006A0355"/>
    <w:rsid w:val="006B1D57"/>
    <w:rsid w:val="006B29DA"/>
    <w:rsid w:val="006D0920"/>
    <w:rsid w:val="00707B3D"/>
    <w:rsid w:val="007469AD"/>
    <w:rsid w:val="007E7675"/>
    <w:rsid w:val="00826556"/>
    <w:rsid w:val="0086060C"/>
    <w:rsid w:val="008E19F2"/>
    <w:rsid w:val="008F4A93"/>
    <w:rsid w:val="0092427C"/>
    <w:rsid w:val="00942A4D"/>
    <w:rsid w:val="0094398B"/>
    <w:rsid w:val="00953E7A"/>
    <w:rsid w:val="009C3A96"/>
    <w:rsid w:val="00A42570"/>
    <w:rsid w:val="00A44C80"/>
    <w:rsid w:val="00A53C7A"/>
    <w:rsid w:val="00A77D20"/>
    <w:rsid w:val="00B326E6"/>
    <w:rsid w:val="00B83EED"/>
    <w:rsid w:val="00C15028"/>
    <w:rsid w:val="00C2337C"/>
    <w:rsid w:val="00C319FD"/>
    <w:rsid w:val="00CD4180"/>
    <w:rsid w:val="00CF3E87"/>
    <w:rsid w:val="00D3066C"/>
    <w:rsid w:val="00D31EFA"/>
    <w:rsid w:val="00D52683"/>
    <w:rsid w:val="00D53C3A"/>
    <w:rsid w:val="00D7126A"/>
    <w:rsid w:val="00D90DBD"/>
    <w:rsid w:val="00DB4D20"/>
    <w:rsid w:val="00E7184F"/>
    <w:rsid w:val="00EA6693"/>
    <w:rsid w:val="00EC1D7B"/>
    <w:rsid w:val="00ED31DA"/>
    <w:rsid w:val="00ED59BA"/>
    <w:rsid w:val="00EE187B"/>
    <w:rsid w:val="00F07E48"/>
    <w:rsid w:val="00F23F14"/>
    <w:rsid w:val="00F25671"/>
    <w:rsid w:val="00F316BF"/>
    <w:rsid w:val="00F404AE"/>
    <w:rsid w:val="00FF4587"/>
    <w:rsid w:val="00FF491F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5B955"/>
  <w15:docId w15:val="{EC384566-70A2-46EC-86AF-6939C2C1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A0"/>
  </w:style>
  <w:style w:type="paragraph" w:styleId="Footer">
    <w:name w:val="footer"/>
    <w:basedOn w:val="Normal"/>
    <w:link w:val="FooterChar"/>
    <w:uiPriority w:val="99"/>
    <w:unhideWhenUsed/>
    <w:rsid w:val="00340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A0"/>
  </w:style>
  <w:style w:type="paragraph" w:customStyle="1" w:styleId="BasicParagraph">
    <w:name w:val="[Basic Paragraph]"/>
    <w:basedOn w:val="Normal"/>
    <w:uiPriority w:val="99"/>
    <w:rsid w:val="00340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74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DE85E9-9D81-4348-881C-4AB7F74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Clearing</cp:lastModifiedBy>
  <cp:revision>2</cp:revision>
  <cp:lastPrinted>2016-07-13T14:36:00Z</cp:lastPrinted>
  <dcterms:created xsi:type="dcterms:W3CDTF">2021-09-30T22:11:00Z</dcterms:created>
  <dcterms:modified xsi:type="dcterms:W3CDTF">2021-09-30T22:11:00Z</dcterms:modified>
</cp:coreProperties>
</file>